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0C5E" w14:textId="24478524" w:rsidR="000B2B92" w:rsidRPr="001C6699" w:rsidRDefault="00003073">
      <w:pPr>
        <w:jc w:val="center"/>
        <w:rPr>
          <w:rFonts w:ascii="Calibri" w:hAnsi="Calibri" w:cs="Calibri"/>
        </w:rPr>
      </w:pPr>
      <w:r w:rsidRPr="001C6699">
        <w:rPr>
          <w:rFonts w:ascii="Calibri" w:hAnsi="Calibri" w:cs="Calibri"/>
          <w:b/>
          <w:sz w:val="28"/>
        </w:rPr>
        <w:t>SS-AD-F6</w:t>
      </w:r>
      <w:r w:rsidR="00397CAE" w:rsidRPr="001C6699">
        <w:rPr>
          <w:rFonts w:ascii="Calibri" w:hAnsi="Calibri" w:cs="Calibri"/>
          <w:b/>
          <w:sz w:val="28"/>
        </w:rPr>
        <w:t>A</w:t>
      </w:r>
      <w:r w:rsidRPr="001C6699">
        <w:rPr>
          <w:rFonts w:ascii="Calibri" w:hAnsi="Calibri" w:cs="Calibri"/>
          <w:b/>
          <w:sz w:val="28"/>
        </w:rPr>
        <w:t xml:space="preserve"> – </w:t>
      </w:r>
      <w:r w:rsidR="00397CAE" w:rsidRPr="001C6699">
        <w:rPr>
          <w:rFonts w:ascii="Calibri" w:hAnsi="Calibri" w:cs="Calibri"/>
          <w:b/>
          <w:bCs/>
          <w:sz w:val="28"/>
        </w:rPr>
        <w:t xml:space="preserve">Comparison Document: Current vs Proposed </w:t>
      </w:r>
      <w:r w:rsidR="004876C8" w:rsidRPr="001C6699">
        <w:rPr>
          <w:rFonts w:ascii="Calibri" w:hAnsi="Calibri" w:cs="Calibri"/>
          <w:b/>
          <w:bCs/>
          <w:sz w:val="28"/>
        </w:rPr>
        <w:t xml:space="preserve">Statue </w:t>
      </w:r>
      <w:r w:rsidR="00397CAE" w:rsidRPr="001C6699">
        <w:rPr>
          <w:rFonts w:ascii="Calibri" w:hAnsi="Calibri" w:cs="Calibri"/>
          <w:b/>
          <w:bCs/>
          <w:sz w:val="28"/>
        </w:rPr>
        <w:t>Wording</w:t>
      </w:r>
    </w:p>
    <w:p w14:paraId="2FFAD436" w14:textId="77777777" w:rsidR="00397CAE" w:rsidRPr="001C6699" w:rsidRDefault="00397CAE" w:rsidP="00397CAE">
      <w:pPr>
        <w:rPr>
          <w:rFonts w:ascii="Calibri" w:hAnsi="Calibri" w:cs="Calibri"/>
          <w:b/>
          <w:bCs/>
          <w:lang w:val="en-GB"/>
        </w:rPr>
      </w:pPr>
    </w:p>
    <w:p w14:paraId="5EDF7041" w14:textId="32E7407B" w:rsidR="00397CAE" w:rsidRPr="001C6699" w:rsidRDefault="00397CAE" w:rsidP="00397CAE">
      <w:pPr>
        <w:pBdr>
          <w:bottom w:val="single" w:sz="4" w:space="1" w:color="auto"/>
        </w:pBdr>
        <w:rPr>
          <w:rFonts w:ascii="Calibri" w:hAnsi="Calibri" w:cs="Calibri"/>
        </w:rPr>
      </w:pPr>
      <w:r w:rsidRPr="001C6699">
        <w:rPr>
          <w:rFonts w:ascii="Calibri" w:hAnsi="Calibri" w:cs="Calibri"/>
          <w:b/>
          <w:bCs/>
          <w:lang w:val="en-GB"/>
        </w:rPr>
        <w:t>Purpose:</w:t>
      </w:r>
      <w:r w:rsidRPr="001C6699">
        <w:rPr>
          <w:rFonts w:ascii="Calibri" w:hAnsi="Calibri" w:cs="Calibri"/>
          <w:lang w:val="en-GB"/>
        </w:rPr>
        <w:br/>
      </w:r>
      <w:r w:rsidRPr="001C6699">
        <w:rPr>
          <w:rFonts w:ascii="Calibri" w:hAnsi="Calibri" w:cs="Calibri"/>
        </w:rPr>
        <w:t xml:space="preserve">This document compares the current wording of the Statute with the proposed wording of the Statute. All proposed </w:t>
      </w:r>
      <w:r w:rsidR="00003073" w:rsidRPr="001C6699">
        <w:rPr>
          <w:rFonts w:ascii="Calibri" w:hAnsi="Calibri" w:cs="Calibri"/>
        </w:rPr>
        <w:t xml:space="preserve">wording </w:t>
      </w:r>
      <w:r w:rsidRPr="001C6699">
        <w:rPr>
          <w:rFonts w:ascii="Calibri" w:hAnsi="Calibri" w:cs="Calibri"/>
        </w:rPr>
        <w:t>change</w:t>
      </w:r>
      <w:r w:rsidR="00003073" w:rsidRPr="001C6699">
        <w:rPr>
          <w:rFonts w:ascii="Calibri" w:hAnsi="Calibri" w:cs="Calibri"/>
        </w:rPr>
        <w:t xml:space="preserve">s </w:t>
      </w:r>
      <w:r w:rsidR="001C6699">
        <w:rPr>
          <w:rFonts w:ascii="Calibri" w:hAnsi="Calibri" w:cs="Calibri"/>
        </w:rPr>
        <w:br/>
      </w:r>
      <w:r w:rsidR="00003073" w:rsidRPr="001C6699">
        <w:rPr>
          <w:rFonts w:ascii="Calibri" w:hAnsi="Calibri" w:cs="Calibri"/>
        </w:rPr>
        <w:t xml:space="preserve">should be in </w:t>
      </w:r>
      <w:r w:rsidR="00003073" w:rsidRPr="001C6699">
        <w:rPr>
          <w:rFonts w:ascii="Calibri" w:hAnsi="Calibri" w:cs="Calibri"/>
          <w:color w:val="BA0C2F"/>
        </w:rPr>
        <w:t>red</w:t>
      </w:r>
      <w:r w:rsidRPr="001C6699">
        <w:rPr>
          <w:rFonts w:ascii="Calibri" w:hAnsi="Calibri" w:cs="Calibri"/>
          <w:color w:val="BA0C2F"/>
        </w:rPr>
        <w:t xml:space="preserve"> </w:t>
      </w:r>
      <w:r w:rsidRPr="001C6699">
        <w:rPr>
          <w:rFonts w:ascii="Calibri" w:hAnsi="Calibri" w:cs="Calibri"/>
        </w:rPr>
        <w:t>for clarity.</w:t>
      </w:r>
    </w:p>
    <w:p w14:paraId="43291A5D" w14:textId="77777777" w:rsidR="00197A6D" w:rsidRPr="001C6699" w:rsidRDefault="00197A6D" w:rsidP="00397CAE">
      <w:pPr>
        <w:rPr>
          <w:rFonts w:ascii="Calibri" w:hAnsi="Calibri" w:cs="Calibri"/>
          <w:b/>
          <w:bCs/>
          <w:i/>
          <w:iCs/>
          <w:color w:val="FF0000"/>
          <w:sz w:val="18"/>
          <w:szCs w:val="18"/>
        </w:rPr>
      </w:pPr>
    </w:p>
    <w:p w14:paraId="10DD5F6D" w14:textId="0D9C605A" w:rsidR="00397CAE" w:rsidRPr="001C6699" w:rsidRDefault="00717262" w:rsidP="00397CAE">
      <w:pPr>
        <w:rPr>
          <w:rFonts w:ascii="Calibri" w:hAnsi="Calibri" w:cs="Calibri"/>
          <w:b/>
          <w:bCs/>
          <w:i/>
          <w:iCs/>
          <w:sz w:val="24"/>
          <w:szCs w:val="24"/>
        </w:rPr>
      </w:pPr>
      <w:r w:rsidRPr="001C6699">
        <w:rPr>
          <w:rFonts w:ascii="Calibri" w:hAnsi="Calibri" w:cs="Calibri"/>
          <w:b/>
          <w:bCs/>
          <w:i/>
          <w:iCs/>
          <w:sz w:val="24"/>
          <w:szCs w:val="24"/>
        </w:rPr>
        <w:t>Example</w:t>
      </w:r>
    </w:p>
    <w:tbl>
      <w:tblPr>
        <w:tblStyle w:val="TableGrid"/>
        <w:tblW w:w="0" w:type="auto"/>
        <w:tblCellMar>
          <w:top w:w="28" w:type="dxa"/>
          <w:bottom w:w="28" w:type="dxa"/>
        </w:tblCellMar>
        <w:tblLook w:val="04A0" w:firstRow="1" w:lastRow="0" w:firstColumn="1" w:lastColumn="0" w:noHBand="0" w:noVBand="1"/>
      </w:tblPr>
      <w:tblGrid>
        <w:gridCol w:w="6912"/>
        <w:gridCol w:w="7230"/>
      </w:tblGrid>
      <w:tr w:rsidR="00397CAE" w:rsidRPr="001C6699" w14:paraId="6B7064D8" w14:textId="77777777" w:rsidTr="001C6699">
        <w:trPr>
          <w:trHeight w:val="252"/>
        </w:trPr>
        <w:tc>
          <w:tcPr>
            <w:tcW w:w="6912" w:type="dxa"/>
          </w:tcPr>
          <w:p w14:paraId="5EB7CB19" w14:textId="77777777" w:rsidR="00397CAE" w:rsidRPr="001C6699" w:rsidRDefault="00397CAE" w:rsidP="005900AA">
            <w:pPr>
              <w:rPr>
                <w:rFonts w:ascii="Calibri" w:hAnsi="Calibri" w:cs="Calibri"/>
                <w:b/>
                <w:bCs/>
                <w:sz w:val="24"/>
                <w:szCs w:val="24"/>
              </w:rPr>
            </w:pPr>
            <w:r w:rsidRPr="001C6699">
              <w:rPr>
                <w:rFonts w:ascii="Calibri" w:hAnsi="Calibri" w:cs="Calibri"/>
                <w:b/>
                <w:bCs/>
                <w:sz w:val="24"/>
                <w:szCs w:val="24"/>
              </w:rPr>
              <w:t>Current Wording</w:t>
            </w:r>
          </w:p>
        </w:tc>
        <w:tc>
          <w:tcPr>
            <w:tcW w:w="7230" w:type="dxa"/>
          </w:tcPr>
          <w:p w14:paraId="4BF75B24" w14:textId="77777777" w:rsidR="00397CAE" w:rsidRPr="001C6699" w:rsidRDefault="00397CAE" w:rsidP="005900AA">
            <w:pPr>
              <w:rPr>
                <w:rFonts w:ascii="Calibri" w:hAnsi="Calibri" w:cs="Calibri"/>
                <w:b/>
                <w:bCs/>
                <w:sz w:val="24"/>
                <w:szCs w:val="24"/>
              </w:rPr>
            </w:pPr>
            <w:r w:rsidRPr="001C6699">
              <w:rPr>
                <w:rFonts w:ascii="Calibri" w:hAnsi="Calibri" w:cs="Calibri"/>
                <w:b/>
                <w:bCs/>
                <w:sz w:val="24"/>
                <w:szCs w:val="24"/>
              </w:rPr>
              <w:t>Proposed Wording</w:t>
            </w:r>
          </w:p>
        </w:tc>
      </w:tr>
      <w:tr w:rsidR="00397CAE" w:rsidRPr="001C6699" w14:paraId="5A27373C" w14:textId="77777777" w:rsidTr="001C6699">
        <w:trPr>
          <w:trHeight w:val="1173"/>
        </w:trPr>
        <w:tc>
          <w:tcPr>
            <w:tcW w:w="6912" w:type="dxa"/>
            <w:vAlign w:val="center"/>
          </w:tcPr>
          <w:p w14:paraId="2DA79571" w14:textId="77777777" w:rsidR="00197A6D" w:rsidRPr="001C6699" w:rsidRDefault="00197A6D" w:rsidP="00397CAE">
            <w:pPr>
              <w:rPr>
                <w:rFonts w:ascii="Calibri" w:hAnsi="Calibri" w:cs="Calibri"/>
                <w:b/>
                <w:bCs/>
              </w:rPr>
            </w:pPr>
          </w:p>
          <w:p w14:paraId="686F1ED1" w14:textId="1361E554" w:rsidR="00197A6D" w:rsidRPr="001C6699" w:rsidRDefault="00717262" w:rsidP="00397CAE">
            <w:pPr>
              <w:rPr>
                <w:rFonts w:ascii="Calibri" w:hAnsi="Calibri" w:cs="Calibri"/>
              </w:rPr>
            </w:pPr>
            <w:r w:rsidRPr="001C6699">
              <w:rPr>
                <w:rFonts w:ascii="Calibri" w:hAnsi="Calibri" w:cs="Calibri"/>
                <w:b/>
                <w:bCs/>
              </w:rPr>
              <w:t>ARTICLE 1 – IDENTITY AND PURPOSE</w:t>
            </w:r>
            <w:r w:rsidRPr="001C6699">
              <w:rPr>
                <w:rFonts w:ascii="Calibri" w:hAnsi="Calibri" w:cs="Calibri"/>
              </w:rPr>
              <w:br/>
              <w:t>1.1 The name of the Association is XYZ Student Association, referred to as the “Association”.</w:t>
            </w:r>
            <w:r w:rsidRPr="001C6699">
              <w:rPr>
                <w:rFonts w:ascii="Calibri" w:hAnsi="Calibri" w:cs="Calibri"/>
              </w:rPr>
              <w:br/>
              <w:t xml:space="preserve">1.2 The registered address is </w:t>
            </w:r>
            <w:r w:rsidR="00197A6D" w:rsidRPr="001C6699">
              <w:rPr>
                <w:rFonts w:ascii="Calibri" w:hAnsi="Calibri" w:cs="Calibri"/>
              </w:rPr>
              <w:t>Triq ABC, Msida, Malta,</w:t>
            </w:r>
          </w:p>
          <w:p w14:paraId="745526EC" w14:textId="376268F8" w:rsidR="00197A6D" w:rsidRPr="001C6699" w:rsidRDefault="00197A6D" w:rsidP="00397CAE">
            <w:pPr>
              <w:rPr>
                <w:rFonts w:ascii="Calibri" w:hAnsi="Calibri" w:cs="Calibri"/>
              </w:rPr>
            </w:pPr>
            <w:r w:rsidRPr="001C6699">
              <w:rPr>
                <w:rFonts w:ascii="Calibri" w:hAnsi="Calibri" w:cs="Calibri"/>
              </w:rPr>
              <w:t>1</w:t>
            </w:r>
            <w:r w:rsidR="00717262" w:rsidRPr="001C6699">
              <w:rPr>
                <w:rFonts w:ascii="Calibri" w:hAnsi="Calibri" w:cs="Calibri"/>
              </w:rPr>
              <w:t>.3 The official logo of the Association is: [INSERT LOGO].</w:t>
            </w:r>
            <w:r w:rsidR="00717262" w:rsidRPr="001C6699">
              <w:rPr>
                <w:rFonts w:ascii="Calibri" w:hAnsi="Calibri" w:cs="Calibri"/>
              </w:rPr>
              <w:br/>
              <w:t>1.4 The official language of the Association shall be [English/Maltese] and all the matters surrounding the association shall be addressed in [English/Maltese].</w:t>
            </w:r>
            <w:r w:rsidR="00717262" w:rsidRPr="001C6699">
              <w:rPr>
                <w:rFonts w:ascii="Calibri" w:hAnsi="Calibri" w:cs="Calibri"/>
              </w:rPr>
              <w:br/>
            </w:r>
            <w:r w:rsidRPr="001C6699">
              <w:rPr>
                <w:rFonts w:ascii="Calibri" w:hAnsi="Calibri" w:cs="Calibri"/>
              </w:rPr>
              <w:t xml:space="preserve">1.5 The Association shall be autonomous and operate as a University-Wide Student Society in terms of Regulation 6.1 of the University Student Society Regulations, 2019 (the “SS Regulations”). The Association is </w:t>
            </w:r>
            <w:proofErr w:type="spellStart"/>
            <w:r w:rsidRPr="001C6699">
              <w:rPr>
                <w:rFonts w:ascii="Calibri" w:hAnsi="Calibri" w:cs="Calibri"/>
              </w:rPr>
              <w:t>organised</w:t>
            </w:r>
            <w:proofErr w:type="spellEnd"/>
            <w:r w:rsidRPr="001C6699">
              <w:rPr>
                <w:rFonts w:ascii="Calibri" w:hAnsi="Calibri" w:cs="Calibri"/>
              </w:rPr>
              <w:t xml:space="preserve"> at the level of the Faculty DEF.</w:t>
            </w:r>
          </w:p>
          <w:p w14:paraId="51D99A78" w14:textId="7B75E167" w:rsidR="00397CAE" w:rsidRPr="001C6699" w:rsidRDefault="00717262" w:rsidP="00397CAE">
            <w:pPr>
              <w:rPr>
                <w:rFonts w:ascii="Calibri" w:hAnsi="Calibri" w:cs="Calibri"/>
              </w:rPr>
            </w:pPr>
            <w:r w:rsidRPr="001C6699">
              <w:rPr>
                <w:rFonts w:ascii="Calibri" w:hAnsi="Calibri" w:cs="Calibri"/>
              </w:rPr>
              <w:t>1.6 The purpose of the Association is to represent students within the University environment.</w:t>
            </w:r>
          </w:p>
        </w:tc>
        <w:tc>
          <w:tcPr>
            <w:tcW w:w="7230" w:type="dxa"/>
            <w:vAlign w:val="center"/>
          </w:tcPr>
          <w:p w14:paraId="6DC2CB09" w14:textId="77777777" w:rsidR="00717262" w:rsidRPr="001C6699" w:rsidRDefault="00717262" w:rsidP="00397CAE">
            <w:pPr>
              <w:rPr>
                <w:rFonts w:ascii="Calibri" w:hAnsi="Calibri" w:cs="Calibri"/>
                <w:b/>
                <w:bCs/>
              </w:rPr>
            </w:pPr>
          </w:p>
          <w:p w14:paraId="2407CBEE" w14:textId="6CB59830" w:rsidR="00397CAE" w:rsidRPr="001C6699" w:rsidRDefault="00717262" w:rsidP="00397CAE">
            <w:pPr>
              <w:rPr>
                <w:rFonts w:ascii="Calibri" w:hAnsi="Calibri" w:cs="Calibri"/>
              </w:rPr>
            </w:pPr>
            <w:r w:rsidRPr="001C6699">
              <w:rPr>
                <w:rFonts w:ascii="Calibri" w:hAnsi="Calibri" w:cs="Calibri"/>
                <w:b/>
                <w:bCs/>
              </w:rPr>
              <w:t xml:space="preserve">ARTICLE 1 – IDENTITY AND </w:t>
            </w:r>
            <w:r w:rsidRPr="001C6699">
              <w:rPr>
                <w:rFonts w:ascii="Calibri" w:hAnsi="Calibri" w:cs="Calibri"/>
                <w:b/>
                <w:bCs/>
                <w:color w:val="BA0C2F"/>
              </w:rPr>
              <w:t>MISSION STATEMENT</w:t>
            </w:r>
            <w:r w:rsidRPr="001C6699">
              <w:rPr>
                <w:rFonts w:ascii="Calibri" w:hAnsi="Calibri" w:cs="Calibri"/>
              </w:rPr>
              <w:br/>
              <w:t xml:space="preserve">1.1 The name of the Association </w:t>
            </w:r>
            <w:r w:rsidRPr="001C6699">
              <w:rPr>
                <w:rFonts w:ascii="Calibri" w:hAnsi="Calibri" w:cs="Calibri"/>
                <w:color w:val="BA0C2F"/>
              </w:rPr>
              <w:t xml:space="preserve">shall be </w:t>
            </w:r>
            <w:r w:rsidRPr="001C6699">
              <w:rPr>
                <w:rFonts w:ascii="Calibri" w:hAnsi="Calibri" w:cs="Calibri"/>
              </w:rPr>
              <w:t xml:space="preserve">XYZ Student Association, </w:t>
            </w:r>
            <w:r w:rsidRPr="001C6699">
              <w:rPr>
                <w:rFonts w:ascii="Calibri" w:hAnsi="Calibri" w:cs="Calibri"/>
                <w:color w:val="BA0C2F"/>
              </w:rPr>
              <w:t xml:space="preserve">otherwise abbreviated as 'XYZ', or </w:t>
            </w:r>
            <w:r w:rsidRPr="001C6699">
              <w:rPr>
                <w:rFonts w:ascii="Calibri" w:hAnsi="Calibri" w:cs="Calibri"/>
              </w:rPr>
              <w:t>referred to as the “Association”.</w:t>
            </w:r>
            <w:r w:rsidRPr="001C6699">
              <w:rPr>
                <w:rFonts w:ascii="Calibri" w:hAnsi="Calibri" w:cs="Calibri"/>
              </w:rPr>
              <w:br/>
              <w:t xml:space="preserve">1.2 The </w:t>
            </w:r>
            <w:r w:rsidRPr="001C6699">
              <w:rPr>
                <w:rFonts w:ascii="Calibri" w:hAnsi="Calibri" w:cs="Calibri"/>
                <w:color w:val="BA0C2F"/>
              </w:rPr>
              <w:t xml:space="preserve">official </w:t>
            </w:r>
            <w:r w:rsidRPr="001C6699">
              <w:rPr>
                <w:rFonts w:ascii="Calibri" w:hAnsi="Calibri" w:cs="Calibri"/>
              </w:rPr>
              <w:t xml:space="preserve">registered address </w:t>
            </w:r>
            <w:r w:rsidRPr="001C6699">
              <w:rPr>
                <w:rFonts w:ascii="Calibri" w:hAnsi="Calibri" w:cs="Calibri"/>
                <w:color w:val="BA0C2F"/>
              </w:rPr>
              <w:t xml:space="preserve">of the Association </w:t>
            </w:r>
            <w:r w:rsidRPr="001C6699">
              <w:rPr>
                <w:rFonts w:ascii="Calibri" w:hAnsi="Calibri" w:cs="Calibri"/>
              </w:rPr>
              <w:t xml:space="preserve">is Triq ABC, Msida, Malta, </w:t>
            </w:r>
            <w:r w:rsidRPr="001C6699">
              <w:rPr>
                <w:rFonts w:ascii="Calibri" w:hAnsi="Calibri" w:cs="Calibri"/>
                <w:color w:val="BA0C2F"/>
              </w:rPr>
              <w:t>or such other address as may be determined by the Executive Committee from time to time.</w:t>
            </w:r>
            <w:r w:rsidRPr="001C6699">
              <w:rPr>
                <w:rFonts w:ascii="Calibri" w:hAnsi="Calibri" w:cs="Calibri"/>
                <w:color w:val="4F81BD" w:themeColor="accent1"/>
              </w:rPr>
              <w:br/>
            </w:r>
            <w:r w:rsidRPr="001C6699">
              <w:rPr>
                <w:rFonts w:ascii="Calibri" w:hAnsi="Calibri" w:cs="Calibri"/>
              </w:rPr>
              <w:t>1.3 The official logo of the Association is: [INSERT LOGO].</w:t>
            </w:r>
            <w:r w:rsidRPr="001C6699">
              <w:rPr>
                <w:rFonts w:ascii="Calibri" w:hAnsi="Calibri" w:cs="Calibri"/>
              </w:rPr>
              <w:br/>
              <w:t>1.4 The official language of the Association shall be [English/Maltese] and all the matters surrounding the association shall be addressed in [English/Maltese].</w:t>
            </w:r>
            <w:r w:rsidRPr="001C6699">
              <w:rPr>
                <w:rFonts w:ascii="Calibri" w:hAnsi="Calibri" w:cs="Calibri"/>
              </w:rPr>
              <w:br/>
              <w:t xml:space="preserve">1.5 The Association shall be autonomous and operate as a University-Wide Student Society in terms of Regulation 6.1 of the University Student Society Regulations, 2019 (the “SS Regulations”). The Association is </w:t>
            </w:r>
            <w:proofErr w:type="spellStart"/>
            <w:r w:rsidRPr="001C6699">
              <w:rPr>
                <w:rFonts w:ascii="Calibri" w:hAnsi="Calibri" w:cs="Calibri"/>
              </w:rPr>
              <w:t>organised</w:t>
            </w:r>
            <w:proofErr w:type="spellEnd"/>
            <w:r w:rsidRPr="001C6699">
              <w:rPr>
                <w:rFonts w:ascii="Calibri" w:hAnsi="Calibri" w:cs="Calibri"/>
              </w:rPr>
              <w:t xml:space="preserve"> at the level of the </w:t>
            </w:r>
            <w:r w:rsidR="00197A6D" w:rsidRPr="001C6699">
              <w:rPr>
                <w:rFonts w:ascii="Calibri" w:hAnsi="Calibri" w:cs="Calibri"/>
              </w:rPr>
              <w:t>Faculty DEF</w:t>
            </w:r>
            <w:r w:rsidRPr="001C6699">
              <w:rPr>
                <w:rFonts w:ascii="Calibri" w:hAnsi="Calibri" w:cs="Calibri"/>
              </w:rPr>
              <w:t>.</w:t>
            </w:r>
            <w:r w:rsidRPr="001C6699">
              <w:rPr>
                <w:rFonts w:ascii="Calibri" w:hAnsi="Calibri" w:cs="Calibri"/>
              </w:rPr>
              <w:br/>
            </w:r>
            <w:r w:rsidRPr="001C6699">
              <w:rPr>
                <w:rFonts w:ascii="Calibri" w:hAnsi="Calibri" w:cs="Calibri"/>
              </w:rPr>
              <w:lastRenderedPageBreak/>
              <w:t xml:space="preserve">1.6 </w:t>
            </w:r>
            <w:r w:rsidRPr="001C6699">
              <w:rPr>
                <w:rFonts w:ascii="Calibri" w:hAnsi="Calibri" w:cs="Calibri"/>
                <w:color w:val="BA0C2F"/>
              </w:rPr>
              <w:t xml:space="preserve">The mission of the </w:t>
            </w:r>
            <w:r w:rsidR="00197A6D" w:rsidRPr="001C6699">
              <w:rPr>
                <w:rFonts w:ascii="Calibri" w:hAnsi="Calibri" w:cs="Calibri"/>
                <w:color w:val="BA0C2F"/>
              </w:rPr>
              <w:t>XYZ Student Association</w:t>
            </w:r>
            <w:r w:rsidRPr="001C6699">
              <w:rPr>
                <w:rFonts w:ascii="Calibri" w:hAnsi="Calibri" w:cs="Calibri"/>
                <w:color w:val="BA0C2F"/>
              </w:rPr>
              <w:t xml:space="preserve"> (</w:t>
            </w:r>
            <w:r w:rsidR="00197A6D" w:rsidRPr="001C6699">
              <w:rPr>
                <w:rFonts w:ascii="Calibri" w:hAnsi="Calibri" w:cs="Calibri"/>
                <w:color w:val="BA0C2F"/>
              </w:rPr>
              <w:t>XYZ</w:t>
            </w:r>
            <w:r w:rsidRPr="001C6699">
              <w:rPr>
                <w:rFonts w:ascii="Calibri" w:hAnsi="Calibri" w:cs="Calibri"/>
                <w:color w:val="BA0C2F"/>
              </w:rPr>
              <w:t>) is to represent</w:t>
            </w:r>
            <w:r w:rsidR="00197A6D" w:rsidRPr="001C6699">
              <w:rPr>
                <w:rFonts w:ascii="Calibri" w:hAnsi="Calibri" w:cs="Calibri"/>
                <w:color w:val="BA0C2F"/>
              </w:rPr>
              <w:t xml:space="preserve"> all</w:t>
            </w:r>
            <w:r w:rsidRPr="001C6699">
              <w:rPr>
                <w:rFonts w:ascii="Calibri" w:hAnsi="Calibri" w:cs="Calibri"/>
                <w:color w:val="BA0C2F"/>
              </w:rPr>
              <w:t xml:space="preserve"> students in all academic, social, and administrative aspects in the University (“University”).</w:t>
            </w:r>
          </w:p>
        </w:tc>
      </w:tr>
      <w:tr w:rsidR="00397CAE" w14:paraId="3991BBCA" w14:textId="77777777" w:rsidTr="001C6699">
        <w:trPr>
          <w:trHeight w:val="4671"/>
        </w:trPr>
        <w:tc>
          <w:tcPr>
            <w:tcW w:w="6912" w:type="dxa"/>
          </w:tcPr>
          <w:p w14:paraId="385824F2" w14:textId="77777777" w:rsidR="001C6699" w:rsidRDefault="001C6699" w:rsidP="001C6699">
            <w:pPr>
              <w:rPr>
                <w:b/>
                <w:bCs/>
              </w:rPr>
            </w:pPr>
          </w:p>
          <w:p w14:paraId="236EC93B" w14:textId="43F20FE2" w:rsidR="00397CAE" w:rsidRDefault="00197A6D" w:rsidP="001C6699">
            <w:r w:rsidRPr="00197A6D">
              <w:rPr>
                <w:b/>
                <w:bCs/>
              </w:rPr>
              <w:t xml:space="preserve">ARTICLE 2 – </w:t>
            </w:r>
            <w:r w:rsidR="00EB0923" w:rsidRPr="00197A6D">
              <w:rPr>
                <w:b/>
                <w:bCs/>
              </w:rPr>
              <w:t>REGULATORY FRAMEWORK</w:t>
            </w:r>
            <w:r w:rsidRPr="00197A6D">
              <w:br/>
              <w:t>2.1 The Association shall abide by the University’s regulations and any other relevant policies.</w:t>
            </w:r>
            <w:r w:rsidRPr="00197A6D">
              <w:br/>
              <w:t xml:space="preserve">2.2 This Association is governed by the Voluntary </w:t>
            </w:r>
            <w:proofErr w:type="spellStart"/>
            <w:r w:rsidRPr="00197A6D">
              <w:t>Organisations</w:t>
            </w:r>
            <w:proofErr w:type="spellEnd"/>
            <w:r w:rsidRPr="00197A6D">
              <w:t xml:space="preserve"> (VO) Act (Chapter 492 of the laws of Malta – the “VO Act”). In this regard the Executive Committee should strive to work towards ensuring that Association is at all times compliant with the VO Act. To such end, the following shall apply:</w:t>
            </w:r>
            <w:r w:rsidRPr="00197A6D">
              <w:br/>
              <w:t>(a) The Association shall be defined in accordance with the VO Act, and any excess of funds received or generated from its activities shall always be reinvested in the same Association; and</w:t>
            </w:r>
            <w:r w:rsidRPr="00197A6D">
              <w:br/>
              <w:t xml:space="preserve">(b) The Association shall submit its annual returns and respective ancillary documentation to the Commissioner of Voluntary </w:t>
            </w:r>
            <w:proofErr w:type="spellStart"/>
            <w:r w:rsidRPr="00197A6D">
              <w:t>Organisations</w:t>
            </w:r>
            <w:proofErr w:type="spellEnd"/>
            <w:r w:rsidRPr="00197A6D">
              <w:t xml:space="preserve"> in compliance with the VO Act.</w:t>
            </w:r>
          </w:p>
        </w:tc>
        <w:tc>
          <w:tcPr>
            <w:tcW w:w="7230" w:type="dxa"/>
          </w:tcPr>
          <w:p w14:paraId="0F6F829A" w14:textId="77777777" w:rsidR="001C6699" w:rsidRDefault="001C6699" w:rsidP="001C6699">
            <w:pPr>
              <w:rPr>
                <w:b/>
                <w:bCs/>
              </w:rPr>
            </w:pPr>
          </w:p>
          <w:p w14:paraId="6C2A9B39" w14:textId="42173596" w:rsidR="00397CAE" w:rsidRDefault="00197A6D" w:rsidP="001C6699">
            <w:r w:rsidRPr="00197A6D">
              <w:rPr>
                <w:b/>
                <w:bCs/>
              </w:rPr>
              <w:t>ARTICLE 2 – REGULATORY FRAMEWORK</w:t>
            </w:r>
            <w:r w:rsidRPr="00197A6D">
              <w:br/>
              <w:t xml:space="preserve">2.1 The Association </w:t>
            </w:r>
            <w:r w:rsidRPr="001C6699">
              <w:rPr>
                <w:color w:val="BA0C2F"/>
              </w:rPr>
              <w:t>is subject to the SS Regulations. It shall also abide by any other appropriate rules and regulations set out by the Senate of the University (“Senate”), in order to obtain and/or maintain Senate Recognition.</w:t>
            </w:r>
            <w:r w:rsidRPr="00197A6D">
              <w:br/>
              <w:t xml:space="preserve">2.2 This Association is governed by the Voluntary </w:t>
            </w:r>
            <w:proofErr w:type="spellStart"/>
            <w:r w:rsidRPr="00197A6D">
              <w:t>Organisations</w:t>
            </w:r>
            <w:proofErr w:type="spellEnd"/>
            <w:r w:rsidRPr="00197A6D">
              <w:t xml:space="preserve"> (VO) Act (Chapter 492 of the laws of Malta – the “VO Act”). In this regard the Executive Committee should strive to work towards ensuring that Association is at all times compliant with the VO Act. To such end, the following shall apply:</w:t>
            </w:r>
            <w:r w:rsidRPr="00197A6D">
              <w:br/>
              <w:t>(a) The Association shall be defined in accordance with the VO Act, and any excess of funds received or generated from its activities shall always be reinvested in the same Association; and</w:t>
            </w:r>
            <w:r w:rsidRPr="00197A6D">
              <w:br/>
              <w:t xml:space="preserve">(b) The Association shall submit its annual returns and respective ancillary documentation to the Commissioner of Voluntary </w:t>
            </w:r>
            <w:proofErr w:type="spellStart"/>
            <w:r w:rsidRPr="00197A6D">
              <w:t>Organisations</w:t>
            </w:r>
            <w:proofErr w:type="spellEnd"/>
            <w:r w:rsidRPr="00197A6D">
              <w:t xml:space="preserve"> in compliance with the VO Act.</w:t>
            </w:r>
          </w:p>
        </w:tc>
      </w:tr>
    </w:tbl>
    <w:p w14:paraId="28418E61" w14:textId="77777777" w:rsidR="00E25CF8" w:rsidRDefault="00E25CF8" w:rsidP="008A2153">
      <w:pPr>
        <w:jc w:val="both"/>
        <w:rPr>
          <w:lang w:val="en-GB"/>
        </w:rPr>
      </w:pPr>
    </w:p>
    <w:p w14:paraId="0AD6E678" w14:textId="77777777" w:rsidR="008A2153" w:rsidRDefault="008A2153" w:rsidP="008A2153">
      <w:pPr>
        <w:pBdr>
          <w:top w:val="single" w:sz="4" w:space="1" w:color="auto"/>
        </w:pBdr>
        <w:spacing w:after="0"/>
        <w:jc w:val="both"/>
        <w:rPr>
          <w:b/>
          <w:bCs/>
          <w:i/>
          <w:iCs/>
          <w:sz w:val="20"/>
          <w:szCs w:val="20"/>
          <w:lang w:val="en-GB"/>
        </w:rPr>
      </w:pPr>
    </w:p>
    <w:p w14:paraId="715445E9" w14:textId="77777777" w:rsidR="008A2153" w:rsidRPr="001C6699" w:rsidRDefault="008A2153" w:rsidP="008A2153">
      <w:pPr>
        <w:pBdr>
          <w:top w:val="single" w:sz="4" w:space="1" w:color="auto"/>
        </w:pBdr>
        <w:spacing w:after="0"/>
        <w:jc w:val="both"/>
        <w:rPr>
          <w:rFonts w:ascii="Calibri" w:hAnsi="Calibri" w:cs="Calibri"/>
          <w:i/>
          <w:iCs/>
          <w:sz w:val="20"/>
          <w:szCs w:val="20"/>
          <w:lang w:val="en-GB"/>
        </w:rPr>
      </w:pPr>
      <w:r w:rsidRPr="001C6699">
        <w:rPr>
          <w:rFonts w:ascii="Calibri" w:hAnsi="Calibri" w:cs="Calibri"/>
          <w:b/>
          <w:bCs/>
          <w:i/>
          <w:iCs/>
          <w:sz w:val="20"/>
          <w:szCs w:val="20"/>
          <w:lang w:val="en-GB"/>
        </w:rPr>
        <w:t>Instructions:</w:t>
      </w:r>
    </w:p>
    <w:p w14:paraId="2C5158CA" w14:textId="51648C2F" w:rsidR="000B2B92" w:rsidRDefault="00283D47" w:rsidP="00EE6455">
      <w:pPr>
        <w:tabs>
          <w:tab w:val="left" w:pos="426"/>
          <w:tab w:val="left" w:pos="9948"/>
        </w:tabs>
      </w:pPr>
      <w:r w:rsidRPr="001C6699">
        <w:rPr>
          <w:rFonts w:ascii="Calibri" w:hAnsi="Calibri" w:cs="Calibri"/>
          <w:i/>
          <w:iCs/>
          <w:sz w:val="20"/>
          <w:szCs w:val="20"/>
        </w:rPr>
        <w:t>1.</w:t>
      </w:r>
      <w:r w:rsidRPr="001C6699">
        <w:rPr>
          <w:rFonts w:ascii="Calibri" w:hAnsi="Calibri" w:cs="Calibri"/>
          <w:i/>
          <w:iCs/>
          <w:sz w:val="20"/>
          <w:szCs w:val="20"/>
        </w:rPr>
        <w:tab/>
        <w:t>Ensure that the proposed wording changes a</w:t>
      </w:r>
      <w:r w:rsidR="00003073" w:rsidRPr="001C6699">
        <w:rPr>
          <w:rFonts w:ascii="Calibri" w:hAnsi="Calibri" w:cs="Calibri"/>
          <w:i/>
          <w:iCs/>
          <w:sz w:val="20"/>
          <w:szCs w:val="20"/>
        </w:rPr>
        <w:t xml:space="preserve">re written in </w:t>
      </w:r>
      <w:r w:rsidR="00003073" w:rsidRPr="001C6699">
        <w:rPr>
          <w:rFonts w:ascii="Calibri" w:hAnsi="Calibri" w:cs="Calibri"/>
          <w:i/>
          <w:iCs/>
          <w:color w:val="BA0C2F"/>
          <w:sz w:val="20"/>
          <w:szCs w:val="20"/>
        </w:rPr>
        <w:t>red</w:t>
      </w:r>
      <w:r w:rsidRPr="001C6699">
        <w:rPr>
          <w:rFonts w:ascii="Calibri" w:hAnsi="Calibri" w:cs="Calibri"/>
          <w:i/>
          <w:iCs/>
          <w:color w:val="BA0C2F"/>
          <w:sz w:val="20"/>
          <w:szCs w:val="20"/>
        </w:rPr>
        <w:t xml:space="preserve"> </w:t>
      </w:r>
      <w:r w:rsidRPr="001C6699">
        <w:rPr>
          <w:rFonts w:ascii="Calibri" w:hAnsi="Calibri" w:cs="Calibri"/>
          <w:i/>
          <w:iCs/>
          <w:sz w:val="20"/>
          <w:szCs w:val="20"/>
        </w:rPr>
        <w:t>for easy reference.</w:t>
      </w:r>
      <w:r w:rsidR="00EE6455">
        <w:rPr>
          <w:i/>
          <w:iCs/>
          <w:sz w:val="20"/>
          <w:szCs w:val="20"/>
        </w:rPr>
        <w:tab/>
      </w:r>
    </w:p>
    <w:sectPr w:rsidR="000B2B92" w:rsidSect="001C6699">
      <w:headerReference w:type="default" r:id="rId8"/>
      <w:footerReference w:type="default" r:id="rId9"/>
      <w:pgSz w:w="16840" w:h="11900" w:orient="landscape"/>
      <w:pgMar w:top="1800" w:right="1440" w:bottom="9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EC4E" w14:textId="77777777" w:rsidR="004346F1" w:rsidRDefault="004346F1">
      <w:pPr>
        <w:spacing w:after="0" w:line="240" w:lineRule="auto"/>
      </w:pPr>
      <w:r>
        <w:separator/>
      </w:r>
    </w:p>
  </w:endnote>
  <w:endnote w:type="continuationSeparator" w:id="0">
    <w:p w14:paraId="0CCAAC10" w14:textId="77777777" w:rsidR="004346F1" w:rsidRDefault="0043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BEB1" w14:textId="2D561B89" w:rsidR="000B2B92" w:rsidRPr="001C6699" w:rsidRDefault="00003073">
    <w:pPr>
      <w:pStyle w:val="Footer"/>
      <w:jc w:val="center"/>
      <w:rPr>
        <w:rFonts w:ascii="Calibri" w:hAnsi="Calibri" w:cs="Calibri"/>
      </w:rPr>
    </w:pPr>
    <w:r w:rsidRPr="001C6699">
      <w:rPr>
        <w:rFonts w:ascii="Calibri" w:hAnsi="Calibri" w:cs="Calibri"/>
      </w:rPr>
      <w:t>Reference: SS-AD-F6</w:t>
    </w:r>
    <w:r w:rsidR="00397CAE" w:rsidRPr="001C6699">
      <w:rPr>
        <w:rFonts w:ascii="Calibri" w:hAnsi="Calibri" w:cs="Calibri"/>
      </w:rPr>
      <w:t>A</w:t>
    </w:r>
    <w:r w:rsidRPr="001C6699">
      <w:rPr>
        <w:rFonts w:ascii="Calibri" w:hAnsi="Calibri" w:cs="Calibri"/>
      </w:rPr>
      <w:t xml:space="preserve"> –</w:t>
    </w:r>
    <w:r w:rsidR="008A2153" w:rsidRPr="001C6699">
      <w:rPr>
        <w:rFonts w:ascii="Calibri" w:hAnsi="Calibri" w:cs="Calibri"/>
      </w:rPr>
      <w:t xml:space="preserve"> </w:t>
    </w:r>
    <w:r w:rsidR="00397CAE" w:rsidRPr="001C6699">
      <w:rPr>
        <w:rFonts w:ascii="Calibri" w:hAnsi="Calibri" w:cs="Calibri"/>
      </w:rPr>
      <w:t>Comparison Document: Current vs Proposed</w:t>
    </w:r>
    <w:r w:rsidR="004876C8" w:rsidRPr="001C6699">
      <w:rPr>
        <w:rFonts w:ascii="Calibri" w:hAnsi="Calibri" w:cs="Calibri"/>
      </w:rPr>
      <w:t xml:space="preserve"> Statute</w:t>
    </w:r>
    <w:r w:rsidR="00397CAE" w:rsidRPr="001C6699">
      <w:rPr>
        <w:rFonts w:ascii="Calibri" w:hAnsi="Calibri" w:cs="Calibri"/>
      </w:rPr>
      <w:t xml:space="preserve"> Wording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59A0D" w14:textId="77777777" w:rsidR="004346F1" w:rsidRDefault="004346F1">
      <w:pPr>
        <w:spacing w:after="0" w:line="240" w:lineRule="auto"/>
      </w:pPr>
      <w:r>
        <w:separator/>
      </w:r>
    </w:p>
  </w:footnote>
  <w:footnote w:type="continuationSeparator" w:id="0">
    <w:p w14:paraId="165F7129" w14:textId="77777777" w:rsidR="004346F1" w:rsidRDefault="00434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C744" w14:textId="77777777" w:rsidR="008A2153" w:rsidRDefault="008A2153" w:rsidP="008A2153">
    <w:pPr>
      <w:pStyle w:val="Header"/>
    </w:pPr>
  </w:p>
  <w:tbl>
    <w:tblPr>
      <w:tblW w:w="14176" w:type="dxa"/>
      <w:tblInd w:w="-142" w:type="dxa"/>
      <w:tblCellMar>
        <w:left w:w="0" w:type="dxa"/>
        <w:right w:w="0" w:type="dxa"/>
      </w:tblCellMar>
      <w:tblLook w:val="04A0" w:firstRow="1" w:lastRow="0" w:firstColumn="1" w:lastColumn="0" w:noHBand="0" w:noVBand="1"/>
    </w:tblPr>
    <w:tblGrid>
      <w:gridCol w:w="4462"/>
      <w:gridCol w:w="9714"/>
    </w:tblGrid>
    <w:tr w:rsidR="008A2153" w14:paraId="264283BF" w14:textId="77777777" w:rsidTr="001C6699">
      <w:tc>
        <w:tcPr>
          <w:tcW w:w="4462" w:type="dxa"/>
        </w:tcPr>
        <w:p w14:paraId="6D3D28CF" w14:textId="77777777" w:rsidR="008A2153" w:rsidRDefault="008A2153" w:rsidP="001C6699">
          <w:r>
            <w:rPr>
              <w:noProof/>
            </w:rPr>
            <w:drawing>
              <wp:inline distT="0" distB="0" distL="0" distR="0" wp14:anchorId="60C50E20" wp14:editId="5B98244B">
                <wp:extent cx="2055241" cy="1133475"/>
                <wp:effectExtent l="0" t="0" r="2540" b="0"/>
                <wp:docPr id="2" name="Picture 2" descr="A red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logo with text&#10;&#10;AI-generated content may be incorrect."/>
                        <pic:cNvPicPr/>
                      </pic:nvPicPr>
                      <pic:blipFill rotWithShape="1">
                        <a:blip r:embed="rId1"/>
                        <a:srcRect l="11522"/>
                        <a:stretch>
                          <a:fillRect/>
                        </a:stretch>
                      </pic:blipFill>
                      <pic:spPr bwMode="auto">
                        <a:xfrm>
                          <a:off x="0" y="0"/>
                          <a:ext cx="2072976" cy="1143256"/>
                        </a:xfrm>
                        <a:prstGeom prst="rect">
                          <a:avLst/>
                        </a:prstGeom>
                        <a:ln>
                          <a:noFill/>
                        </a:ln>
                        <a:extLst>
                          <a:ext uri="{53640926-AAD7-44D8-BBD7-CCE9431645EC}">
                            <a14:shadowObscured xmlns:a14="http://schemas.microsoft.com/office/drawing/2010/main"/>
                          </a:ext>
                        </a:extLst>
                      </pic:spPr>
                    </pic:pic>
                  </a:graphicData>
                </a:graphic>
              </wp:inline>
            </w:drawing>
          </w:r>
        </w:p>
      </w:tc>
      <w:tc>
        <w:tcPr>
          <w:tcW w:w="9714" w:type="dxa"/>
        </w:tcPr>
        <w:p w14:paraId="5E537460" w14:textId="77777777" w:rsidR="008A2153" w:rsidRPr="00390993" w:rsidRDefault="008A2153" w:rsidP="008A2153">
          <w:pPr>
            <w:jc w:val="right"/>
            <w:rPr>
              <w:highlight w:val="yellow"/>
            </w:rPr>
          </w:pPr>
        </w:p>
        <w:p w14:paraId="42A4655C" w14:textId="4FABE587" w:rsidR="008A2153" w:rsidRDefault="008A2153" w:rsidP="008A2153">
          <w:pPr>
            <w:jc w:val="right"/>
          </w:pPr>
          <w:r w:rsidRPr="00027544">
            <w:t xml:space="preserve">         </w:t>
          </w:r>
          <w:r w:rsidRPr="00390993">
            <w:rPr>
              <w:highlight w:val="yellow"/>
            </w:rPr>
            <w:t xml:space="preserve">[Name of </w:t>
          </w:r>
          <w:r w:rsidR="00EF29BE" w:rsidRPr="00EF29BE">
            <w:rPr>
              <w:highlight w:val="yellow"/>
            </w:rPr>
            <w:t xml:space="preserve">Student </w:t>
          </w:r>
          <w:r w:rsidRPr="00390993">
            <w:rPr>
              <w:highlight w:val="yellow"/>
            </w:rPr>
            <w:t>Society]</w:t>
          </w:r>
        </w:p>
        <w:p w14:paraId="37D15623" w14:textId="77777777" w:rsidR="008A2153" w:rsidRPr="00676253" w:rsidRDefault="008A2153" w:rsidP="008A2153">
          <w:pPr>
            <w:jc w:val="right"/>
            <w:rPr>
              <w:sz w:val="26"/>
              <w:szCs w:val="26"/>
              <w:highlight w:val="yellow"/>
            </w:rPr>
          </w:pPr>
          <w:r w:rsidRPr="002038E8">
            <w:t xml:space="preserve">Reporting Year: </w:t>
          </w:r>
          <w:r w:rsidRPr="002038E8">
            <w:rPr>
              <w:highlight w:val="yellow"/>
            </w:rPr>
            <w:t>[Start Date] – [End Date]</w:t>
          </w:r>
        </w:p>
        <w:p w14:paraId="74E23CC7" w14:textId="77777777" w:rsidR="008A2153" w:rsidRDefault="008A2153" w:rsidP="008A2153">
          <w:pPr>
            <w:jc w:val="right"/>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EB5048"/>
    <w:multiLevelType w:val="multilevel"/>
    <w:tmpl w:val="8B48CDDE"/>
    <w:lvl w:ilvl="0">
      <w:start w:val="1"/>
      <w:numFmt w:val="decimal"/>
      <w:lvlText w:val="%1."/>
      <w:lvlJc w:val="left"/>
      <w:pPr>
        <w:tabs>
          <w:tab w:val="num" w:pos="360"/>
        </w:tabs>
        <w:ind w:left="360" w:hanging="360"/>
      </w:pPr>
    </w:lvl>
    <w:lvl w:ilvl="1">
      <w:start w:val="1"/>
      <w:numFmt w:val="decimal"/>
      <w:lvlText w:val="3.%2."/>
      <w:lvlJc w:val="left"/>
      <w:pPr>
        <w:ind w:left="1080" w:hanging="360"/>
      </w:pPr>
      <w:rPr>
        <w:rFonts w:hint="default"/>
        <w:b w:val="0"/>
        <w:bCs/>
        <w:caps w:val="0"/>
        <w:smallCaps w:val="0"/>
        <w:strike w:val="0"/>
        <w:dstrike w:val="0"/>
        <w:outline w:val="0"/>
        <w:emboss w:val="0"/>
        <w:imprint w:val="0"/>
        <w:spacing w:val="0"/>
        <w:w w:val="100"/>
        <w:kern w:val="0"/>
        <w:position w:val="0"/>
        <w:vertAlign w:val="baseline"/>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F582E94"/>
    <w:multiLevelType w:val="multilevel"/>
    <w:tmpl w:val="4CC2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B07DBE"/>
    <w:multiLevelType w:val="multilevel"/>
    <w:tmpl w:val="80468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4287490">
    <w:abstractNumId w:val="8"/>
  </w:num>
  <w:num w:numId="2" w16cid:durableId="1607883336">
    <w:abstractNumId w:val="6"/>
  </w:num>
  <w:num w:numId="3" w16cid:durableId="385834634">
    <w:abstractNumId w:val="5"/>
  </w:num>
  <w:num w:numId="4" w16cid:durableId="1976175679">
    <w:abstractNumId w:val="4"/>
  </w:num>
  <w:num w:numId="5" w16cid:durableId="1486899793">
    <w:abstractNumId w:val="7"/>
  </w:num>
  <w:num w:numId="6" w16cid:durableId="489372685">
    <w:abstractNumId w:val="3"/>
  </w:num>
  <w:num w:numId="7" w16cid:durableId="1501655775">
    <w:abstractNumId w:val="2"/>
  </w:num>
  <w:num w:numId="8" w16cid:durableId="904143116">
    <w:abstractNumId w:val="1"/>
  </w:num>
  <w:num w:numId="9" w16cid:durableId="1983650683">
    <w:abstractNumId w:val="0"/>
  </w:num>
  <w:num w:numId="10" w16cid:durableId="1127468">
    <w:abstractNumId w:val="11"/>
  </w:num>
  <w:num w:numId="11" w16cid:durableId="1878661426">
    <w:abstractNumId w:val="9"/>
  </w:num>
  <w:num w:numId="12" w16cid:durableId="1160384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073"/>
    <w:rsid w:val="00034616"/>
    <w:rsid w:val="0006063C"/>
    <w:rsid w:val="00075243"/>
    <w:rsid w:val="000A222A"/>
    <w:rsid w:val="000B2B92"/>
    <w:rsid w:val="000F4F3B"/>
    <w:rsid w:val="00107AB5"/>
    <w:rsid w:val="001218B9"/>
    <w:rsid w:val="0015074B"/>
    <w:rsid w:val="00174AAD"/>
    <w:rsid w:val="00197A6D"/>
    <w:rsid w:val="001B57E5"/>
    <w:rsid w:val="001C6699"/>
    <w:rsid w:val="00232B2C"/>
    <w:rsid w:val="00283D47"/>
    <w:rsid w:val="002960EB"/>
    <w:rsid w:val="0029639D"/>
    <w:rsid w:val="00324C85"/>
    <w:rsid w:val="00326F90"/>
    <w:rsid w:val="0034632C"/>
    <w:rsid w:val="003850E9"/>
    <w:rsid w:val="00397CAE"/>
    <w:rsid w:val="004346F1"/>
    <w:rsid w:val="004876C8"/>
    <w:rsid w:val="004D3043"/>
    <w:rsid w:val="00501984"/>
    <w:rsid w:val="005168D8"/>
    <w:rsid w:val="005F262F"/>
    <w:rsid w:val="006A06A3"/>
    <w:rsid w:val="006C05CA"/>
    <w:rsid w:val="006E75B5"/>
    <w:rsid w:val="00717262"/>
    <w:rsid w:val="008A2153"/>
    <w:rsid w:val="00957F53"/>
    <w:rsid w:val="009F58B6"/>
    <w:rsid w:val="00AA1D8D"/>
    <w:rsid w:val="00B47730"/>
    <w:rsid w:val="00C60BF2"/>
    <w:rsid w:val="00C84A34"/>
    <w:rsid w:val="00CB0664"/>
    <w:rsid w:val="00CE3DDF"/>
    <w:rsid w:val="00DB2EC5"/>
    <w:rsid w:val="00E25CF8"/>
    <w:rsid w:val="00EB0923"/>
    <w:rsid w:val="00EE6455"/>
    <w:rsid w:val="00EF29BE"/>
    <w:rsid w:val="00F71F01"/>
    <w:rsid w:val="00FB0D0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BD8847"/>
  <w14:defaultImageDpi w14:val="300"/>
  <w15:docId w15:val="{290A40F8-8233-4642-A5F8-BF6F14CF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1218B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9016">
      <w:bodyDiv w:val="1"/>
      <w:marLeft w:val="0"/>
      <w:marRight w:val="0"/>
      <w:marTop w:val="0"/>
      <w:marBottom w:val="0"/>
      <w:divBdr>
        <w:top w:val="none" w:sz="0" w:space="0" w:color="auto"/>
        <w:left w:val="none" w:sz="0" w:space="0" w:color="auto"/>
        <w:bottom w:val="none" w:sz="0" w:space="0" w:color="auto"/>
        <w:right w:val="none" w:sz="0" w:space="0" w:color="auto"/>
      </w:divBdr>
    </w:div>
    <w:div w:id="475341468">
      <w:bodyDiv w:val="1"/>
      <w:marLeft w:val="0"/>
      <w:marRight w:val="0"/>
      <w:marTop w:val="0"/>
      <w:marBottom w:val="0"/>
      <w:divBdr>
        <w:top w:val="none" w:sz="0" w:space="0" w:color="auto"/>
        <w:left w:val="none" w:sz="0" w:space="0" w:color="auto"/>
        <w:bottom w:val="none" w:sz="0" w:space="0" w:color="auto"/>
        <w:right w:val="none" w:sz="0" w:space="0" w:color="auto"/>
      </w:divBdr>
    </w:div>
    <w:div w:id="1169557458">
      <w:bodyDiv w:val="1"/>
      <w:marLeft w:val="0"/>
      <w:marRight w:val="0"/>
      <w:marTop w:val="0"/>
      <w:marBottom w:val="0"/>
      <w:divBdr>
        <w:top w:val="none" w:sz="0" w:space="0" w:color="auto"/>
        <w:left w:val="none" w:sz="0" w:space="0" w:color="auto"/>
        <w:bottom w:val="none" w:sz="0" w:space="0" w:color="auto"/>
        <w:right w:val="none" w:sz="0" w:space="0" w:color="auto"/>
      </w:divBdr>
    </w:div>
    <w:div w:id="1331179046">
      <w:bodyDiv w:val="1"/>
      <w:marLeft w:val="0"/>
      <w:marRight w:val="0"/>
      <w:marTop w:val="0"/>
      <w:marBottom w:val="0"/>
      <w:divBdr>
        <w:top w:val="none" w:sz="0" w:space="0" w:color="auto"/>
        <w:left w:val="none" w:sz="0" w:space="0" w:color="auto"/>
        <w:bottom w:val="none" w:sz="0" w:space="0" w:color="auto"/>
        <w:right w:val="none" w:sz="0" w:space="0" w:color="auto"/>
      </w:divBdr>
    </w:div>
    <w:div w:id="1361978243">
      <w:bodyDiv w:val="1"/>
      <w:marLeft w:val="0"/>
      <w:marRight w:val="0"/>
      <w:marTop w:val="0"/>
      <w:marBottom w:val="0"/>
      <w:divBdr>
        <w:top w:val="none" w:sz="0" w:space="0" w:color="auto"/>
        <w:left w:val="none" w:sz="0" w:space="0" w:color="auto"/>
        <w:bottom w:val="none" w:sz="0" w:space="0" w:color="auto"/>
        <w:right w:val="none" w:sz="0" w:space="0" w:color="auto"/>
      </w:divBdr>
    </w:div>
    <w:div w:id="1765301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19</cp:revision>
  <dcterms:created xsi:type="dcterms:W3CDTF">2013-12-23T23:15:00Z</dcterms:created>
  <dcterms:modified xsi:type="dcterms:W3CDTF">2026-01-21T10:36:00Z</dcterms:modified>
  <cp:category/>
</cp:coreProperties>
</file>